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641DA" w:rsidRDefault="000B7810" w:rsidP="00657009">
      <w:pPr>
        <w:spacing w:after="0" w:line="240" w:lineRule="auto"/>
        <w:jc w:val="center"/>
        <w:rPr>
          <w:rFonts w:ascii="Arial" w:hAnsi="Arial" w:cs="Arial"/>
          <w:sz w:val="20"/>
          <w:szCs w:val="20"/>
        </w:rPr>
      </w:pPr>
      <w:bookmarkStart w:id="0" w:name="_GoBack"/>
      <w:bookmarkEnd w:id="0"/>
    </w:p>
    <w:p w:rsidR="000B7810" w:rsidRPr="006641DA" w:rsidRDefault="000B7810" w:rsidP="00657009">
      <w:pPr>
        <w:spacing w:after="0" w:line="240" w:lineRule="auto"/>
        <w:jc w:val="center"/>
        <w:rPr>
          <w:rFonts w:ascii="Arial" w:hAnsi="Arial" w:cs="Arial"/>
          <w:sz w:val="20"/>
          <w:szCs w:val="20"/>
        </w:rPr>
      </w:pPr>
    </w:p>
    <w:p w:rsidR="008E076C" w:rsidRPr="006641DA" w:rsidRDefault="008E076C" w:rsidP="00657009">
      <w:pPr>
        <w:spacing w:after="0" w:line="240" w:lineRule="auto"/>
        <w:jc w:val="center"/>
        <w:rPr>
          <w:rFonts w:ascii="Arial" w:hAnsi="Arial" w:cs="Arial"/>
          <w:sz w:val="20"/>
          <w:szCs w:val="20"/>
        </w:rPr>
      </w:pPr>
    </w:p>
    <w:p w:rsidR="007D1E76" w:rsidRPr="006641DA" w:rsidRDefault="00322441" w:rsidP="007D1E76">
      <w:pPr>
        <w:spacing w:after="0" w:line="240" w:lineRule="auto"/>
        <w:jc w:val="center"/>
        <w:rPr>
          <w:rFonts w:ascii="Arial" w:hAnsi="Arial" w:cs="Arial"/>
          <w:b/>
          <w:sz w:val="20"/>
          <w:szCs w:val="20"/>
        </w:rPr>
      </w:pPr>
      <w:hyperlink r:id="rId11" w:history="1">
        <w:r w:rsidR="007D1E76" w:rsidRPr="006641DA">
          <w:rPr>
            <w:rStyle w:val="Hipervnculo"/>
            <w:rFonts w:ascii="Arial" w:hAnsi="Arial" w:cs="Arial"/>
            <w:b/>
            <w:sz w:val="20"/>
            <w:szCs w:val="20"/>
          </w:rPr>
          <w:t>NOTAS DE GESTIÓN ADMINISTRATIVA</w:t>
        </w:r>
      </w:hyperlink>
    </w:p>
    <w:p w:rsidR="007D1E76" w:rsidRPr="006641DA" w:rsidRDefault="007D1E76" w:rsidP="007D1E76">
      <w:pPr>
        <w:spacing w:after="0" w:line="240" w:lineRule="auto"/>
        <w:jc w:val="both"/>
        <w:rPr>
          <w:rFonts w:ascii="Arial" w:hAnsi="Arial" w:cs="Arial"/>
          <w:sz w:val="20"/>
          <w:szCs w:val="20"/>
        </w:rPr>
      </w:pPr>
    </w:p>
    <w:p w:rsidR="00641AAC" w:rsidRPr="006641DA" w:rsidRDefault="00641AAC" w:rsidP="00641AAC">
      <w:pPr>
        <w:jc w:val="both"/>
        <w:rPr>
          <w:rFonts w:ascii="Arial" w:hAnsi="Arial" w:cs="Arial"/>
          <w:sz w:val="20"/>
          <w:szCs w:val="20"/>
        </w:rPr>
      </w:pPr>
      <w:r w:rsidRPr="006641DA">
        <w:rPr>
          <w:rFonts w:ascii="Arial" w:hAnsi="Arial" w:cs="Arial"/>
          <w:sz w:val="20"/>
          <w:szCs w:val="20"/>
        </w:rPr>
        <w:t xml:space="preserve">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 </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6641DA">
        <w:rPr>
          <w:rFonts w:ascii="Arial" w:hAnsi="Arial" w:cs="Arial"/>
          <w:sz w:val="20"/>
          <w:szCs w:val="20"/>
        </w:rPr>
        <w:t>ismos y sus particularidades.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6641DA">
        <w:rPr>
          <w:rFonts w:ascii="Arial" w:hAnsi="Arial" w:cs="Arial"/>
          <w:sz w:val="20"/>
          <w:szCs w:val="20"/>
        </w:rPr>
        <w:t>ones en períodos posteriores.</w:t>
      </w:r>
    </w:p>
    <w:p w:rsidR="007D1E76" w:rsidRPr="006641DA" w:rsidRDefault="007D1E76" w:rsidP="007D1E76">
      <w:pPr>
        <w:pStyle w:val="Prrafodelista"/>
        <w:spacing w:after="0" w:line="240" w:lineRule="auto"/>
        <w:jc w:val="both"/>
        <w:rPr>
          <w:rFonts w:ascii="Arial" w:hAnsi="Arial" w:cs="Arial"/>
          <w:sz w:val="20"/>
          <w:szCs w:val="20"/>
        </w:rPr>
      </w:pPr>
    </w:p>
    <w:p w:rsidR="007D1E76" w:rsidRPr="006641DA" w:rsidRDefault="007D1E76" w:rsidP="007D1E76">
      <w:pPr>
        <w:pStyle w:val="Prrafodelista"/>
        <w:numPr>
          <w:ilvl w:val="0"/>
          <w:numId w:val="1"/>
        </w:numPr>
        <w:spacing w:after="0" w:line="240" w:lineRule="auto"/>
        <w:jc w:val="both"/>
        <w:rPr>
          <w:rFonts w:ascii="Arial" w:hAnsi="Arial" w:cs="Arial"/>
          <w:sz w:val="20"/>
          <w:szCs w:val="20"/>
        </w:rPr>
      </w:pPr>
      <w:r w:rsidRPr="006641DA">
        <w:rPr>
          <w:rFonts w:ascii="Arial" w:hAnsi="Arial" w:cs="Arial"/>
          <w:sz w:val="20"/>
          <w:szCs w:val="20"/>
        </w:rPr>
        <w:t>Las notas de gestión administrativa deben contener los siguientes puntos: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1. Introducción:</w:t>
      </w:r>
    </w:p>
    <w:p w:rsidR="000F31F7" w:rsidRPr="000F31F7" w:rsidRDefault="000F31F7" w:rsidP="000F31F7">
      <w:pPr>
        <w:spacing w:before="100" w:after="0" w:line="240" w:lineRule="auto"/>
        <w:ind w:firstLine="708"/>
        <w:jc w:val="both"/>
        <w:rPr>
          <w:rFonts w:ascii="Arial" w:eastAsia="Times New Roman" w:hAnsi="Arial" w:cs="Arial"/>
          <w:b/>
          <w:bCs/>
          <w:sz w:val="20"/>
          <w:szCs w:val="20"/>
          <w:lang w:eastAsia="es-ES"/>
        </w:rPr>
      </w:pPr>
      <w:r w:rsidRPr="000F31F7">
        <w:rPr>
          <w:rFonts w:ascii="Arial" w:eastAsia="Times New Roman" w:hAnsi="Arial" w:cs="Arial"/>
          <w:b/>
          <w:bCs/>
          <w:sz w:val="20"/>
          <w:szCs w:val="20"/>
          <w:lang w:eastAsia="es-ES"/>
        </w:rPr>
        <w:t xml:space="preserve">La importancia de la planeación en la Administración Pública Municipal, radica principalmente en una atención eficaz y eficiente de las demandas de la población; procurando establecer nuevos planes para impulsar las acciones de gobierno y sociedad y así encontrar, los mecanismos de gestión en la promoción de programas y proyectos en base al principio de sustentabilidad. </w:t>
      </w:r>
    </w:p>
    <w:p w:rsidR="000F31F7" w:rsidRPr="006641DA" w:rsidRDefault="000F31F7" w:rsidP="007D1E76">
      <w:pPr>
        <w:spacing w:after="0" w:line="240" w:lineRule="auto"/>
        <w:jc w:val="both"/>
        <w:rPr>
          <w:rFonts w:ascii="Arial" w:hAnsi="Arial" w:cs="Arial"/>
          <w:b/>
          <w:sz w:val="20"/>
          <w:szCs w:val="20"/>
        </w:rPr>
      </w:pPr>
    </w:p>
    <w:p w:rsidR="000F31F7" w:rsidRPr="006641DA" w:rsidRDefault="000F31F7" w:rsidP="007D1E76">
      <w:pPr>
        <w:spacing w:after="0" w:line="240" w:lineRule="auto"/>
        <w:jc w:val="both"/>
        <w:rPr>
          <w:rFonts w:ascii="Arial" w:hAnsi="Arial" w:cs="Arial"/>
          <w:b/>
          <w:sz w:val="20"/>
          <w:szCs w:val="20"/>
        </w:rPr>
      </w:pPr>
    </w:p>
    <w:p w:rsidR="000F31F7" w:rsidRPr="006641DA" w:rsidRDefault="000F31F7"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2. Describir el pan</w:t>
      </w:r>
      <w:r w:rsidR="00E00323" w:rsidRPr="006641DA">
        <w:rPr>
          <w:rFonts w:ascii="Arial" w:hAnsi="Arial" w:cs="Arial"/>
          <w:b/>
          <w:sz w:val="20"/>
          <w:szCs w:val="20"/>
        </w:rPr>
        <w:t>orama Económico y Financiero:</w:t>
      </w:r>
    </w:p>
    <w:p w:rsidR="007D1E76" w:rsidRPr="006641DA" w:rsidRDefault="007D1E76" w:rsidP="007D1E76">
      <w:pPr>
        <w:spacing w:after="0" w:line="240" w:lineRule="auto"/>
        <w:jc w:val="both"/>
        <w:rPr>
          <w:rFonts w:ascii="Arial" w:hAnsi="Arial" w:cs="Arial"/>
          <w:sz w:val="20"/>
          <w:szCs w:val="20"/>
        </w:rPr>
      </w:pPr>
    </w:p>
    <w:p w:rsidR="007D1E76" w:rsidRPr="006641DA" w:rsidRDefault="00641AAC" w:rsidP="007D1E76">
      <w:pPr>
        <w:spacing w:after="0" w:line="240" w:lineRule="auto"/>
        <w:jc w:val="both"/>
        <w:rPr>
          <w:rFonts w:ascii="Arial" w:hAnsi="Arial" w:cs="Arial"/>
          <w:sz w:val="20"/>
          <w:szCs w:val="20"/>
        </w:rPr>
      </w:pPr>
      <w:r w:rsidRPr="006641DA">
        <w:rPr>
          <w:rFonts w:ascii="Arial" w:hAnsi="Arial" w:cs="Arial"/>
          <w:sz w:val="20"/>
          <w:szCs w:val="20"/>
        </w:rPr>
        <w:t xml:space="preserve">En Romita, somos una Administración Municipal transparente, moderna y eficiente, que se ha integrado al desarrollo del corredor industrial </w:t>
      </w:r>
      <w:r w:rsidR="006641DA" w:rsidRPr="006641DA">
        <w:rPr>
          <w:rFonts w:ascii="Arial" w:hAnsi="Arial" w:cs="Arial"/>
          <w:sz w:val="20"/>
          <w:szCs w:val="20"/>
        </w:rPr>
        <w:t>consolidándonos</w:t>
      </w:r>
      <w:r w:rsidRPr="006641DA">
        <w:rPr>
          <w:rFonts w:ascii="Arial" w:hAnsi="Arial" w:cs="Arial"/>
          <w:sz w:val="20"/>
          <w:szCs w:val="20"/>
        </w:rPr>
        <w:t xml:space="preserve"> como un municipio </w:t>
      </w:r>
      <w:r w:rsidR="006641DA" w:rsidRPr="006641DA">
        <w:rPr>
          <w:rFonts w:ascii="Arial" w:hAnsi="Arial" w:cs="Arial"/>
          <w:sz w:val="20"/>
          <w:szCs w:val="20"/>
        </w:rPr>
        <w:t>generados de empleo y de recursos financieros autosuficientes para fortalecer una mayor participación en el crecimiento y el desarrollo integral e incluyente de los Remitentes.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3. Autoriza</w:t>
      </w:r>
      <w:r w:rsidR="00E00323" w:rsidRPr="006641DA">
        <w:rPr>
          <w:rFonts w:ascii="Arial" w:hAnsi="Arial" w:cs="Arial"/>
          <w:b/>
          <w:sz w:val="20"/>
          <w:szCs w:val="20"/>
        </w:rPr>
        <w:t>ción e Historia:</w:t>
      </w:r>
    </w:p>
    <w:p w:rsidR="007D1E76" w:rsidRPr="006641DA"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6641DA" w:rsidRDefault="006641DA" w:rsidP="007D1E76">
      <w:pPr>
        <w:spacing w:after="0" w:line="240" w:lineRule="auto"/>
        <w:jc w:val="both"/>
        <w:rPr>
          <w:rFonts w:ascii="Arial" w:hAnsi="Arial" w:cs="Arial"/>
          <w:sz w:val="20"/>
          <w:szCs w:val="20"/>
        </w:rPr>
      </w:pPr>
    </w:p>
    <w:p w:rsidR="006641DA" w:rsidRPr="001B6566" w:rsidRDefault="006641DA" w:rsidP="006641DA">
      <w:pPr>
        <w:jc w:val="both"/>
        <w:rPr>
          <w:rFonts w:ascii="Arial" w:hAnsi="Arial" w:cs="Arial"/>
          <w:sz w:val="20"/>
          <w:szCs w:val="20"/>
        </w:rPr>
      </w:pPr>
      <w:r w:rsidRPr="001B6566">
        <w:rPr>
          <w:rFonts w:ascii="Arial" w:hAnsi="Arial" w:cs="Arial"/>
          <w:sz w:val="20"/>
          <w:szCs w:val="20"/>
        </w:rPr>
        <w:t>a) Fecha de creación del ente.</w:t>
      </w:r>
    </w:p>
    <w:p w:rsidR="006641DA" w:rsidRPr="001B6566" w:rsidRDefault="006641DA" w:rsidP="006641DA">
      <w:pPr>
        <w:jc w:val="both"/>
        <w:rPr>
          <w:rFonts w:ascii="Arial" w:hAnsi="Arial" w:cs="Arial"/>
          <w:sz w:val="20"/>
          <w:szCs w:val="20"/>
        </w:rPr>
      </w:pPr>
      <w:r w:rsidRPr="001B6566">
        <w:rPr>
          <w:rFonts w:ascii="Arial" w:hAnsi="Arial" w:cs="Arial"/>
          <w:sz w:val="20"/>
          <w:szCs w:val="20"/>
        </w:rPr>
        <w:t>01 de enero de 1985</w:t>
      </w:r>
    </w:p>
    <w:p w:rsidR="006641DA" w:rsidRPr="001B6566" w:rsidRDefault="006641DA" w:rsidP="006641DA">
      <w:pPr>
        <w:jc w:val="both"/>
        <w:rPr>
          <w:rFonts w:ascii="Arial" w:hAnsi="Arial" w:cs="Arial"/>
          <w:sz w:val="20"/>
          <w:szCs w:val="20"/>
        </w:rPr>
      </w:pPr>
      <w:r w:rsidRPr="001B6566">
        <w:rPr>
          <w:rFonts w:ascii="Arial" w:hAnsi="Arial" w:cs="Arial"/>
          <w:sz w:val="20"/>
          <w:szCs w:val="20"/>
        </w:rPr>
        <w:t>b) Principales cambios en su estructura.</w:t>
      </w:r>
    </w:p>
    <w:p w:rsidR="006641DA" w:rsidRPr="001B6566" w:rsidRDefault="006641DA" w:rsidP="006641DA">
      <w:pPr>
        <w:jc w:val="both"/>
        <w:rPr>
          <w:rFonts w:ascii="Arial" w:hAnsi="Arial" w:cs="Arial"/>
          <w:sz w:val="20"/>
          <w:szCs w:val="20"/>
        </w:rPr>
      </w:pPr>
      <w:r w:rsidRPr="001B6566">
        <w:rPr>
          <w:rFonts w:ascii="Arial" w:hAnsi="Arial" w:cs="Arial"/>
          <w:sz w:val="20"/>
          <w:szCs w:val="20"/>
        </w:rPr>
        <w:t xml:space="preserve">Siempre ha sido empresa Pública y su finalidad siempre ha sido salvaguardar los intereses del pueblo.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 xml:space="preserve">4. </w:t>
      </w:r>
      <w:r w:rsidR="00E00323" w:rsidRPr="006641DA">
        <w:rPr>
          <w:rFonts w:ascii="Arial" w:hAnsi="Arial" w:cs="Arial"/>
          <w:b/>
          <w:sz w:val="20"/>
          <w:szCs w:val="20"/>
        </w:rPr>
        <w:t>Organización y Objeto Social:</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Objeto social.</w:t>
      </w:r>
    </w:p>
    <w:p w:rsidR="006641DA" w:rsidRPr="001B6566" w:rsidRDefault="006641DA" w:rsidP="006641DA">
      <w:pPr>
        <w:jc w:val="both"/>
        <w:rPr>
          <w:rFonts w:ascii="Arial" w:hAnsi="Arial" w:cs="Arial"/>
          <w:sz w:val="20"/>
          <w:szCs w:val="20"/>
        </w:rPr>
      </w:pPr>
      <w:r w:rsidRPr="001B6566">
        <w:rPr>
          <w:rFonts w:ascii="Arial" w:hAnsi="Arial" w:cs="Arial"/>
          <w:sz w:val="20"/>
          <w:szCs w:val="20"/>
        </w:rPr>
        <w:lastRenderedPageBreak/>
        <w:t xml:space="preserve">Proporcionar servicios de Seguridad, Limpia, educación desarrollo social, desarrollo económico, desarrollo rural entre otros.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Principal actividad.</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Ejercicio fiscal </w:t>
      </w:r>
    </w:p>
    <w:p w:rsidR="007D1E76" w:rsidRDefault="007D1E76" w:rsidP="007D1E76">
      <w:pPr>
        <w:spacing w:after="0" w:line="240" w:lineRule="auto"/>
        <w:jc w:val="both"/>
        <w:rPr>
          <w:rFonts w:ascii="Arial" w:hAnsi="Arial" w:cs="Arial"/>
          <w:sz w:val="20"/>
          <w:szCs w:val="20"/>
        </w:rPr>
      </w:pPr>
    </w:p>
    <w:p w:rsidR="006641DA" w:rsidRPr="006641DA" w:rsidRDefault="006641DA" w:rsidP="007D1E76">
      <w:pPr>
        <w:spacing w:after="0" w:line="240" w:lineRule="auto"/>
        <w:jc w:val="both"/>
        <w:rPr>
          <w:rFonts w:ascii="Arial" w:hAnsi="Arial" w:cs="Arial"/>
          <w:sz w:val="20"/>
          <w:szCs w:val="20"/>
        </w:rPr>
      </w:pPr>
      <w:r>
        <w:rPr>
          <w:rFonts w:ascii="Arial" w:hAnsi="Arial" w:cs="Arial"/>
          <w:sz w:val="20"/>
          <w:szCs w:val="20"/>
        </w:rPr>
        <w:t>Ejercicio 2017</w:t>
      </w:r>
    </w:p>
    <w:p w:rsidR="007D1E76" w:rsidRPr="006641DA" w:rsidRDefault="007D1E76" w:rsidP="007D1E76">
      <w:pPr>
        <w:spacing w:after="0" w:line="240" w:lineRule="auto"/>
        <w:jc w:val="both"/>
        <w:rPr>
          <w:rFonts w:ascii="Arial" w:hAnsi="Arial" w:cs="Arial"/>
          <w:sz w:val="20"/>
          <w:szCs w:val="20"/>
        </w:rPr>
      </w:pPr>
    </w:p>
    <w:p w:rsidR="006641DA" w:rsidRDefault="007D1E76" w:rsidP="006641DA">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Régimen jurídico </w:t>
      </w:r>
    </w:p>
    <w:p w:rsidR="006641DA" w:rsidRPr="006641DA" w:rsidRDefault="006641DA" w:rsidP="006641DA">
      <w:pPr>
        <w:spacing w:after="0" w:line="240" w:lineRule="auto"/>
        <w:jc w:val="both"/>
        <w:rPr>
          <w:rFonts w:ascii="Arial" w:hAnsi="Arial" w:cs="Arial"/>
          <w:sz w:val="20"/>
          <w:szCs w:val="20"/>
        </w:rPr>
      </w:pPr>
      <w:r>
        <w:rPr>
          <w:rFonts w:ascii="Arial" w:hAnsi="Arial" w:cs="Arial"/>
          <w:sz w:val="20"/>
          <w:szCs w:val="20"/>
        </w:rPr>
        <w:t xml:space="preserve">Municipio </w:t>
      </w:r>
      <w:r w:rsidR="005A5430">
        <w:rPr>
          <w:rFonts w:ascii="Arial" w:hAnsi="Arial" w:cs="Arial"/>
          <w:sz w:val="20"/>
          <w:szCs w:val="20"/>
        </w:rPr>
        <w:t>de Romita</w:t>
      </w:r>
      <w:r>
        <w:rPr>
          <w:rFonts w:ascii="Arial" w:hAnsi="Arial" w:cs="Arial"/>
          <w:sz w:val="20"/>
          <w:szCs w:val="20"/>
        </w:rPr>
        <w:t>, sin tipo de sociedad.</w:t>
      </w:r>
    </w:p>
    <w:p w:rsidR="007D1E76" w:rsidRPr="006641DA"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Consideraciones fiscales del ente: </w:t>
      </w:r>
    </w:p>
    <w:p w:rsidR="006641DA" w:rsidRDefault="006641DA" w:rsidP="007D1E76">
      <w:pPr>
        <w:spacing w:after="0" w:line="240" w:lineRule="auto"/>
        <w:jc w:val="both"/>
        <w:rPr>
          <w:rFonts w:ascii="Arial" w:hAnsi="Arial" w:cs="Arial"/>
          <w:sz w:val="20"/>
          <w:szCs w:val="20"/>
        </w:rPr>
      </w:pP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1) Declaración anual y pago provisional mensual de retenciones de Impuesto Sobre la Renta (ISR) por sueldos y salarios, asimilados a salarios. </w:t>
      </w: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2) Declaración anual y pago provisional mensual del ISR donde se informe las retenciones efectuadas por pagos de rentas de bienes inmuebles. </w:t>
      </w: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3) Declaración anual donde se informe sobre las retenciones de los trabajadores que recibieron sueldos y salarios, y trabajadores asimilados a salarios </w:t>
      </w: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4) Declaración mensual donde se informe sobre las operaciones con terceros para efectos de Impuesto al Valor Agregado (IVA). </w:t>
      </w:r>
    </w:p>
    <w:p w:rsidR="006641DA" w:rsidRPr="006641DA" w:rsidRDefault="00D11651" w:rsidP="007D1E76">
      <w:pPr>
        <w:spacing w:after="0" w:line="240" w:lineRule="auto"/>
        <w:jc w:val="both"/>
        <w:rPr>
          <w:rFonts w:ascii="Arial" w:hAnsi="Arial" w:cs="Arial"/>
          <w:sz w:val="20"/>
          <w:szCs w:val="20"/>
        </w:rPr>
      </w:pPr>
      <w:r w:rsidRPr="00D11651">
        <w:rPr>
          <w:rFonts w:ascii="Arial" w:hAnsi="Arial" w:cs="Arial"/>
          <w:sz w:val="20"/>
          <w:szCs w:val="20"/>
        </w:rPr>
        <w:t>5) Pagos mensuales del impuesto sobre nómina.</w:t>
      </w:r>
    </w:p>
    <w:p w:rsidR="00D11651" w:rsidRDefault="00D11651"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f)</w:t>
      </w:r>
      <w:r w:rsidRPr="006641DA">
        <w:rPr>
          <w:rFonts w:ascii="Arial" w:hAnsi="Arial" w:cs="Arial"/>
          <w:sz w:val="20"/>
          <w:szCs w:val="20"/>
        </w:rPr>
        <w:t xml:space="preserve"> Estructura organizacional básica.</w:t>
      </w:r>
    </w:p>
    <w:p w:rsidR="007D1E76" w:rsidRDefault="007D1E76" w:rsidP="007D1E76">
      <w:pPr>
        <w:spacing w:after="0" w:line="240" w:lineRule="auto"/>
        <w:ind w:firstLine="708"/>
        <w:jc w:val="both"/>
        <w:rPr>
          <w:rFonts w:ascii="Arial" w:hAnsi="Arial" w:cs="Arial"/>
          <w:sz w:val="20"/>
          <w:szCs w:val="20"/>
        </w:rPr>
      </w:pPr>
    </w:p>
    <w:p w:rsidR="006641DA" w:rsidRDefault="006641DA" w:rsidP="007D1E76">
      <w:pPr>
        <w:spacing w:after="0" w:line="240" w:lineRule="auto"/>
        <w:ind w:firstLine="708"/>
        <w:jc w:val="both"/>
        <w:rPr>
          <w:rFonts w:ascii="Arial" w:hAnsi="Arial" w:cs="Arial"/>
          <w:sz w:val="20"/>
          <w:szCs w:val="20"/>
        </w:rPr>
      </w:pPr>
    </w:p>
    <w:p w:rsidR="006641DA" w:rsidRDefault="006641DA" w:rsidP="007D1E76">
      <w:pPr>
        <w:spacing w:after="0" w:line="240" w:lineRule="auto"/>
        <w:ind w:firstLine="708"/>
        <w:jc w:val="both"/>
        <w:rPr>
          <w:rFonts w:ascii="Arial" w:hAnsi="Arial" w:cs="Arial"/>
          <w:sz w:val="20"/>
          <w:szCs w:val="20"/>
        </w:rPr>
      </w:pPr>
    </w:p>
    <w:p w:rsidR="006641DA" w:rsidRDefault="006641DA" w:rsidP="007D1E76">
      <w:pPr>
        <w:spacing w:after="0" w:line="240" w:lineRule="auto"/>
        <w:ind w:firstLine="708"/>
        <w:jc w:val="both"/>
        <w:rPr>
          <w:rFonts w:ascii="Arial" w:hAnsi="Arial" w:cs="Arial"/>
          <w:sz w:val="20"/>
          <w:szCs w:val="20"/>
        </w:rPr>
      </w:pPr>
    </w:p>
    <w:p w:rsidR="006641DA" w:rsidRPr="006641DA" w:rsidRDefault="006641DA" w:rsidP="007D1E76">
      <w:pPr>
        <w:spacing w:after="0" w:line="240" w:lineRule="auto"/>
        <w:ind w:firstLine="708"/>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g)</w:t>
      </w:r>
      <w:r w:rsidRPr="006641DA">
        <w:rPr>
          <w:rFonts w:ascii="Arial" w:hAnsi="Arial" w:cs="Arial"/>
          <w:sz w:val="20"/>
          <w:szCs w:val="20"/>
        </w:rPr>
        <w:t xml:space="preserve"> Fideicomisos, mandatos y análogos de los cuales es fideicomitente o </w:t>
      </w:r>
      <w:r w:rsidR="00657009" w:rsidRPr="006641DA">
        <w:rPr>
          <w:rFonts w:ascii="Arial" w:hAnsi="Arial" w:cs="Arial"/>
          <w:sz w:val="20"/>
          <w:szCs w:val="20"/>
        </w:rPr>
        <w:t>fideicomisario</w:t>
      </w:r>
      <w:r w:rsidRPr="006641DA">
        <w:rPr>
          <w:rFonts w:ascii="Arial" w:hAnsi="Arial" w:cs="Arial"/>
          <w:sz w:val="20"/>
          <w:szCs w:val="20"/>
        </w:rPr>
        <w:t>.</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5. Bases de Preparació</w:t>
      </w:r>
      <w:r w:rsidR="00E00323" w:rsidRPr="006641DA">
        <w:rPr>
          <w:rFonts w:ascii="Arial" w:hAnsi="Arial" w:cs="Arial"/>
          <w:b/>
          <w:sz w:val="20"/>
          <w:szCs w:val="20"/>
        </w:rPr>
        <w:t>n de los Estados Financieros: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Si se ha observado la normatividad emitida por el CONAC y las disposiciones legales aplicables.</w:t>
      </w:r>
    </w:p>
    <w:p w:rsidR="00D11651" w:rsidRDefault="00D11651" w:rsidP="007D1E76">
      <w:pPr>
        <w:spacing w:after="0" w:line="240" w:lineRule="auto"/>
        <w:jc w:val="both"/>
        <w:rPr>
          <w:rFonts w:ascii="Arial" w:hAnsi="Arial" w:cs="Arial"/>
          <w:sz w:val="20"/>
          <w:szCs w:val="20"/>
        </w:rPr>
      </w:pPr>
    </w:p>
    <w:p w:rsidR="007D1E76" w:rsidRPr="006641DA" w:rsidRDefault="00D11651" w:rsidP="007D1E76">
      <w:pPr>
        <w:spacing w:after="0" w:line="240" w:lineRule="auto"/>
        <w:jc w:val="both"/>
        <w:rPr>
          <w:rFonts w:ascii="Arial" w:hAnsi="Arial" w:cs="Arial"/>
          <w:sz w:val="20"/>
          <w:szCs w:val="20"/>
        </w:rPr>
      </w:pPr>
      <w:r w:rsidRPr="00D11651">
        <w:rPr>
          <w:rFonts w:ascii="Arial" w:hAnsi="Arial" w:cs="Arial"/>
          <w:sz w:val="20"/>
          <w:szCs w:val="20"/>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 a la fecha se encuentra en proceso la actualización del patrimonio.</w:t>
      </w:r>
    </w:p>
    <w:p w:rsidR="00D11651" w:rsidRDefault="00D11651"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w:t>
      </w:r>
      <w:r w:rsidRPr="006641DA">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__________________________________________________________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Postulados básicos.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__________________________________________________________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__________________________________________________________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Para las entidades que por primera vez estén implementando la base devengado de acuerdo a la Ley de Contabilidad, deberán:</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*Revelar las nuevas políticas de reconocimiento: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*Plan de implementación:</w:t>
      </w:r>
    </w:p>
    <w:p w:rsidR="001C153D" w:rsidRPr="001C153D" w:rsidRDefault="001C153D" w:rsidP="001C153D">
      <w:pPr>
        <w:jc w:val="both"/>
        <w:rPr>
          <w:rFonts w:ascii="Arial" w:hAnsi="Arial" w:cs="Arial"/>
          <w:sz w:val="20"/>
          <w:szCs w:val="20"/>
        </w:rPr>
      </w:pPr>
      <w:r w:rsidRPr="001C153D">
        <w:rPr>
          <w:rFonts w:ascii="Arial" w:hAnsi="Arial" w:cs="Arial"/>
          <w:sz w:val="20"/>
          <w:szCs w:val="20"/>
        </w:rPr>
        <w:t xml:space="preserve">El proporcionado por Finanzas que es el SAP.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*Revelar los cambios en las políticas, la clasificación y medición de las mismas, así como su impacto en la información financiera: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6. Políticas de</w:t>
      </w:r>
      <w:r w:rsidR="00E00323" w:rsidRPr="006641DA">
        <w:rPr>
          <w:rFonts w:ascii="Arial" w:hAnsi="Arial" w:cs="Arial"/>
          <w:b/>
          <w:sz w:val="20"/>
          <w:szCs w:val="20"/>
        </w:rPr>
        <w:t xml:space="preserve"> Contabilidad Significativas: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Actualización: se informará del método utilizado para la actualización del valor de los activos, pasivos y Hacienda Pública/</w:t>
      </w:r>
      <w:r w:rsidR="00657009" w:rsidRPr="006641DA">
        <w:rPr>
          <w:rFonts w:ascii="Arial" w:hAnsi="Arial" w:cs="Arial"/>
          <w:sz w:val="20"/>
          <w:szCs w:val="20"/>
        </w:rPr>
        <w:t>P</w:t>
      </w:r>
      <w:r w:rsidRPr="006641DA">
        <w:rPr>
          <w:rFonts w:ascii="Arial" w:hAnsi="Arial" w:cs="Arial"/>
          <w:sz w:val="20"/>
          <w:szCs w:val="20"/>
        </w:rPr>
        <w:t>atrimonio y las razones de dicha elección. Así como informar de la desconexión o reconexión inflacionaria:</w:t>
      </w:r>
    </w:p>
    <w:p w:rsidR="001C153D" w:rsidRDefault="001C153D" w:rsidP="001C153D">
      <w:pPr>
        <w:jc w:val="both"/>
        <w:rPr>
          <w:rFonts w:ascii="Arial" w:hAnsi="Arial" w:cs="Arial"/>
          <w:sz w:val="20"/>
          <w:szCs w:val="20"/>
        </w:rPr>
      </w:pPr>
      <w:r w:rsidRPr="001B6566">
        <w:rPr>
          <w:rFonts w:ascii="Arial" w:hAnsi="Arial" w:cs="Arial"/>
          <w:sz w:val="20"/>
          <w:szCs w:val="20"/>
        </w:rPr>
        <w:t xml:space="preserve">Pólizas de Ingresos, Egresos y Diario. </w:t>
      </w:r>
    </w:p>
    <w:p w:rsidR="001C153D" w:rsidRPr="001B6566" w:rsidRDefault="001C153D" w:rsidP="001C153D">
      <w:pPr>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lastRenderedPageBreak/>
        <w:t>b)</w:t>
      </w:r>
      <w:r w:rsidRPr="006641DA">
        <w:rPr>
          <w:rFonts w:ascii="Arial" w:hAnsi="Arial" w:cs="Arial"/>
          <w:sz w:val="20"/>
          <w:szCs w:val="20"/>
        </w:rPr>
        <w:t xml:space="preserve"> Informar sobre la realización de operaciones en el extranjero y de sus efectos en la información financiera gubernamental:</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Método de valuación de la inversión en acciones de Compañías subsidiarias no consolidadas y asociadas: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Sistema y método de valuación de inventarios y costo de lo vendido: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C153D" w:rsidRPr="001B6566" w:rsidRDefault="001C153D" w:rsidP="001C153D">
      <w:pPr>
        <w:jc w:val="both"/>
        <w:rPr>
          <w:rFonts w:ascii="Arial" w:hAnsi="Arial" w:cs="Arial"/>
          <w:sz w:val="20"/>
          <w:szCs w:val="20"/>
        </w:rPr>
      </w:pPr>
      <w:r w:rsidRPr="001B6566">
        <w:rPr>
          <w:rFonts w:ascii="Arial" w:hAnsi="Arial" w:cs="Arial"/>
          <w:sz w:val="20"/>
          <w:szCs w:val="20"/>
        </w:rPr>
        <w:t>Prestaciones de Ley (imss, aguinaldo, vacaciones, prima vacacional, despensa, prima dominical)</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f)</w:t>
      </w:r>
      <w:r w:rsidRPr="006641DA">
        <w:rPr>
          <w:rFonts w:ascii="Arial" w:hAnsi="Arial" w:cs="Arial"/>
          <w:sz w:val="20"/>
          <w:szCs w:val="20"/>
        </w:rPr>
        <w:t xml:space="preserve"> Provisiones: objetivo de su creación, monto y plazo: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g)</w:t>
      </w:r>
      <w:r w:rsidRPr="006641DA">
        <w:rPr>
          <w:rFonts w:ascii="Arial" w:hAnsi="Arial" w:cs="Arial"/>
          <w:sz w:val="20"/>
          <w:szCs w:val="20"/>
        </w:rPr>
        <w:t xml:space="preserve"> Reservas: objetivo de su creación, monto y plazo: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657009"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h)</w:t>
      </w:r>
      <w:r w:rsidRPr="006641DA">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C153D" w:rsidRDefault="001C153D" w:rsidP="001C153D">
      <w:pPr>
        <w:jc w:val="both"/>
        <w:rPr>
          <w:rFonts w:ascii="Arial" w:hAnsi="Arial" w:cs="Arial"/>
          <w:sz w:val="20"/>
          <w:szCs w:val="20"/>
        </w:rPr>
      </w:pPr>
    </w:p>
    <w:p w:rsidR="001C153D" w:rsidRPr="001B6566" w:rsidRDefault="001C153D" w:rsidP="001C153D">
      <w:pPr>
        <w:jc w:val="both"/>
        <w:rPr>
          <w:rFonts w:ascii="Arial" w:hAnsi="Arial" w:cs="Arial"/>
          <w:sz w:val="20"/>
          <w:szCs w:val="20"/>
        </w:rPr>
      </w:pPr>
      <w:r w:rsidRPr="001B6566">
        <w:rPr>
          <w:rFonts w:ascii="Arial" w:hAnsi="Arial" w:cs="Arial"/>
          <w:sz w:val="20"/>
          <w:szCs w:val="20"/>
        </w:rPr>
        <w:t>La corrección de errores se hace a través de anular las pólizas y hay un reporte de anulación de pólizas.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i)</w:t>
      </w:r>
      <w:r w:rsidRPr="006641DA">
        <w:rPr>
          <w:rFonts w:ascii="Arial" w:hAnsi="Arial" w:cs="Arial"/>
          <w:sz w:val="20"/>
          <w:szCs w:val="20"/>
        </w:rPr>
        <w:t xml:space="preserve"> Reclasificaciones: Se deben revelar todos aquellos movimientos entre cuentas por efectos de cambios en los tipos de operaciones:</w:t>
      </w:r>
    </w:p>
    <w:p w:rsidR="001C153D" w:rsidRDefault="001C153D" w:rsidP="001C153D">
      <w:pPr>
        <w:jc w:val="both"/>
        <w:rPr>
          <w:rFonts w:ascii="Arial" w:hAnsi="Arial" w:cs="Arial"/>
          <w:sz w:val="20"/>
          <w:szCs w:val="20"/>
        </w:rPr>
      </w:pPr>
    </w:p>
    <w:p w:rsidR="001C153D" w:rsidRPr="001B6566" w:rsidRDefault="001C153D" w:rsidP="001C153D">
      <w:pPr>
        <w:jc w:val="both"/>
        <w:rPr>
          <w:rFonts w:ascii="Arial" w:hAnsi="Arial" w:cs="Arial"/>
          <w:sz w:val="20"/>
          <w:szCs w:val="20"/>
        </w:rPr>
      </w:pPr>
      <w:r>
        <w:rPr>
          <w:rFonts w:ascii="Arial" w:hAnsi="Arial" w:cs="Arial"/>
          <w:sz w:val="20"/>
          <w:szCs w:val="20"/>
        </w:rPr>
        <w:t>Si el error es mínimo se reclasifica</w:t>
      </w:r>
      <w:r w:rsidRPr="001B6566">
        <w:rPr>
          <w:rFonts w:ascii="Arial" w:hAnsi="Arial" w:cs="Arial"/>
          <w:sz w:val="20"/>
          <w:szCs w:val="20"/>
        </w:rPr>
        <w:t xml:space="preserve"> la póliza. </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j)</w:t>
      </w:r>
      <w:r w:rsidRPr="006641DA">
        <w:rPr>
          <w:rFonts w:ascii="Arial" w:hAnsi="Arial" w:cs="Arial"/>
          <w:sz w:val="20"/>
          <w:szCs w:val="20"/>
        </w:rPr>
        <w:t xml:space="preserve"> Depuración y cancelación de saldos:</w:t>
      </w:r>
    </w:p>
    <w:p w:rsidR="001C153D" w:rsidRDefault="001C153D" w:rsidP="001C153D">
      <w:pPr>
        <w:jc w:val="both"/>
        <w:rPr>
          <w:rFonts w:ascii="Arial" w:hAnsi="Arial" w:cs="Arial"/>
          <w:sz w:val="20"/>
          <w:szCs w:val="20"/>
        </w:rPr>
      </w:pPr>
    </w:p>
    <w:p w:rsidR="001C153D" w:rsidRPr="001B6566" w:rsidRDefault="001C153D" w:rsidP="001C153D">
      <w:pPr>
        <w:jc w:val="both"/>
        <w:rPr>
          <w:rFonts w:ascii="Arial" w:hAnsi="Arial" w:cs="Arial"/>
          <w:sz w:val="20"/>
          <w:szCs w:val="20"/>
        </w:rPr>
      </w:pPr>
      <w:r w:rsidRPr="001B6566">
        <w:rPr>
          <w:rFonts w:ascii="Arial" w:hAnsi="Arial" w:cs="Arial"/>
          <w:sz w:val="20"/>
          <w:szCs w:val="20"/>
        </w:rPr>
        <w:t xml:space="preserve">Esto se hace a través de una autorización por el H. Ayuntamiento. </w:t>
      </w:r>
    </w:p>
    <w:p w:rsidR="00E00323" w:rsidRPr="006641DA" w:rsidRDefault="00E00323"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7. Posición en Moneda Extranjera y Pro</w:t>
      </w:r>
      <w:r w:rsidR="00E00323" w:rsidRPr="006641DA">
        <w:rPr>
          <w:rFonts w:ascii="Arial" w:hAnsi="Arial" w:cs="Arial"/>
          <w:b/>
          <w:sz w:val="20"/>
          <w:szCs w:val="20"/>
        </w:rPr>
        <w:t>tección por Riesgo Cambiario:</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Activos en moneda extranjera:</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Pasivos en moneda extranjera: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 xml:space="preserve">c) </w:t>
      </w:r>
      <w:r w:rsidRPr="006641DA">
        <w:rPr>
          <w:rFonts w:ascii="Arial" w:hAnsi="Arial" w:cs="Arial"/>
          <w:sz w:val="20"/>
          <w:szCs w:val="20"/>
        </w:rPr>
        <w:t>Posición en moneda extranjera: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Tipo de cambio: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 xml:space="preserve">e) </w:t>
      </w:r>
      <w:r w:rsidRPr="006641DA">
        <w:rPr>
          <w:rFonts w:ascii="Arial" w:hAnsi="Arial" w:cs="Arial"/>
          <w:sz w:val="20"/>
          <w:szCs w:val="20"/>
        </w:rPr>
        <w:t>Equivalente en moneda nacional:</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Lo anterior por cada tipo de moneda extranjera que se encuentre en los rubros de activo y pasivo.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Adicionalmente se informará sobre los métodos de protección de riesgo por vari</w:t>
      </w:r>
      <w:r w:rsidR="00E00323" w:rsidRPr="006641DA">
        <w:rPr>
          <w:rFonts w:ascii="Arial" w:hAnsi="Arial" w:cs="Arial"/>
          <w:sz w:val="20"/>
          <w:szCs w:val="20"/>
        </w:rPr>
        <w:t>aciones en el tipo de cambio.</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 xml:space="preserve">8. </w:t>
      </w:r>
      <w:r w:rsidR="00E00323" w:rsidRPr="006641DA">
        <w:rPr>
          <w:rFonts w:ascii="Arial" w:hAnsi="Arial" w:cs="Arial"/>
          <w:b/>
          <w:sz w:val="20"/>
          <w:szCs w:val="20"/>
        </w:rPr>
        <w:t>Reporte Analítico del Activo:</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Debe mostrar la siguien</w:t>
      </w:r>
      <w:r w:rsidR="00E00323" w:rsidRPr="006641DA">
        <w:rPr>
          <w:rFonts w:ascii="Arial" w:hAnsi="Arial" w:cs="Arial"/>
          <w:sz w:val="20"/>
          <w:szCs w:val="20"/>
        </w:rPr>
        <w:t>te información:</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Vida útil o porcentajes de depreciación, deterioro o amortización utilizados en los diferentes tipos de activos: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Cambios en el porcentaje de depreciación o valor residual de los activos: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Importe de los gastos capitalizados en el ejercicio, tanto financieros como de investigación y desarrollo: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Rie</w:t>
      </w:r>
      <w:r w:rsidR="001973A2" w:rsidRPr="006641DA">
        <w:rPr>
          <w:rFonts w:ascii="Arial" w:hAnsi="Arial" w:cs="Arial"/>
          <w:sz w:val="20"/>
          <w:szCs w:val="20"/>
        </w:rPr>
        <w:t>s</w:t>
      </w:r>
      <w:r w:rsidRPr="006641DA">
        <w:rPr>
          <w:rFonts w:ascii="Arial" w:hAnsi="Arial" w:cs="Arial"/>
          <w:sz w:val="20"/>
          <w:szCs w:val="20"/>
        </w:rPr>
        <w:t>gos por tipo de cambio o tipo de interés de las inversiones financieras: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 xml:space="preserve">e) </w:t>
      </w:r>
      <w:r w:rsidRPr="006641DA">
        <w:rPr>
          <w:rFonts w:ascii="Arial" w:hAnsi="Arial" w:cs="Arial"/>
          <w:sz w:val="20"/>
          <w:szCs w:val="20"/>
        </w:rPr>
        <w:t>Valor activado en el ejercicio de los bienes construidos por la entidad:</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lastRenderedPageBreak/>
        <w:t>f)</w:t>
      </w:r>
      <w:r w:rsidRPr="006641DA">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g)</w:t>
      </w:r>
      <w:r w:rsidRPr="006641DA">
        <w:rPr>
          <w:rFonts w:ascii="Arial" w:hAnsi="Arial" w:cs="Arial"/>
          <w:sz w:val="20"/>
          <w:szCs w:val="20"/>
        </w:rPr>
        <w:t xml:space="preserve"> Desmantelamiento de Activos, procedimientos, implicaciones, efectos contables: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h)</w:t>
      </w:r>
      <w:r w:rsidRPr="006641DA">
        <w:rPr>
          <w:rFonts w:ascii="Arial" w:hAnsi="Arial" w:cs="Arial"/>
          <w:sz w:val="20"/>
          <w:szCs w:val="20"/>
        </w:rPr>
        <w:t xml:space="preserve"> Administración de activos; planeación con el objetivo de que el ente los utilice de manera más efectiva:</w:t>
      </w:r>
    </w:p>
    <w:p w:rsidR="001C153D" w:rsidRPr="001C153D" w:rsidRDefault="001C153D" w:rsidP="001C153D">
      <w:pPr>
        <w:jc w:val="both"/>
        <w:rPr>
          <w:rFonts w:ascii="Arial" w:hAnsi="Arial" w:cs="Arial"/>
          <w:sz w:val="20"/>
          <w:szCs w:val="20"/>
        </w:rPr>
      </w:pPr>
      <w:r w:rsidRPr="001C153D">
        <w:rPr>
          <w:rFonts w:ascii="Arial" w:hAnsi="Arial" w:cs="Arial"/>
          <w:sz w:val="20"/>
          <w:szCs w:val="20"/>
        </w:rPr>
        <w:t xml:space="preserve">Altas en el inventario y cartas resguardo. </w:t>
      </w:r>
    </w:p>
    <w:p w:rsidR="001C153D" w:rsidRPr="001C153D" w:rsidRDefault="001C153D" w:rsidP="001C153D">
      <w:pPr>
        <w:jc w:val="both"/>
        <w:rPr>
          <w:rFonts w:ascii="Arial" w:hAnsi="Arial" w:cs="Arial"/>
          <w:sz w:val="20"/>
          <w:szCs w:val="20"/>
        </w:rPr>
      </w:pPr>
      <w:r w:rsidRPr="001C153D">
        <w:rPr>
          <w:rFonts w:ascii="Arial" w:hAnsi="Arial" w:cs="Arial"/>
          <w:sz w:val="20"/>
          <w:szCs w:val="20"/>
        </w:rPr>
        <w:t>Adicionalmente, se deben incluir las explicaciones de las principales variaciones en el activo, en cuadros comparativos como sigue:</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Adicionalmente, se deben incluir las explicaciones de las principales variaciones en el activo, en cua</w:t>
      </w:r>
      <w:r w:rsidR="005E231E" w:rsidRPr="006641DA">
        <w:rPr>
          <w:rFonts w:ascii="Arial" w:hAnsi="Arial" w:cs="Arial"/>
          <w:sz w:val="20"/>
          <w:szCs w:val="20"/>
        </w:rPr>
        <w:t>dros comparativos como sigue: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Inversiones en valores: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Patrimonio de Organismos descentralizados de Control Presupuestario Indirecto: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Inversiones en empresas de participación mayoritaria: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Inversiones en empresas de participación minoritaria: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Patrimonio de organismos descentralizados de control presupuestario directo, según corresponda: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9. Fidei</w:t>
      </w:r>
      <w:r w:rsidR="005E231E" w:rsidRPr="006641DA">
        <w:rPr>
          <w:rFonts w:ascii="Arial" w:hAnsi="Arial" w:cs="Arial"/>
          <w:b/>
          <w:sz w:val="20"/>
          <w:szCs w:val="20"/>
        </w:rPr>
        <w:t>comisos, Mandatos y Análogos: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deberá informar:</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Por ramo administrativo que los reporta: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lastRenderedPageBreak/>
        <w:t>b)</w:t>
      </w:r>
      <w:r w:rsidRPr="006641DA">
        <w:rPr>
          <w:rFonts w:ascii="Arial" w:hAnsi="Arial" w:cs="Arial"/>
          <w:sz w:val="20"/>
          <w:szCs w:val="20"/>
        </w:rPr>
        <w:t xml:space="preserve"> Enlistar los de mayor monto de disponibilidad, relacionando aquéllos que conforman el 80% de las disponibilidades: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10. Reporte de la Recaudación:</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Proyección de la recaudación e ingresos en el mediano plazo: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11. Información sobre la Deuda y el R</w:t>
      </w:r>
      <w:r w:rsidR="005E231E" w:rsidRPr="006641DA">
        <w:rPr>
          <w:rFonts w:ascii="Arial" w:hAnsi="Arial" w:cs="Arial"/>
          <w:b/>
          <w:sz w:val="20"/>
          <w:szCs w:val="20"/>
        </w:rPr>
        <w:t>eporte Analítico de la Deuda:</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Utilizar al menos los siguientes indicadores: deuda respecto al PIB y deuda respecto a la recaudación tomando, como mínimo, un período igual o menor a 5 años.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Información de manera agrupada por tipo de valor gubernamental o instrumento financiero en la que se considere</w:t>
      </w:r>
      <w:r w:rsidR="001973A2" w:rsidRPr="006641DA">
        <w:rPr>
          <w:rFonts w:ascii="Arial" w:hAnsi="Arial" w:cs="Arial"/>
          <w:sz w:val="20"/>
          <w:szCs w:val="20"/>
        </w:rPr>
        <w:t>n</w:t>
      </w:r>
      <w:r w:rsidRPr="006641DA">
        <w:rPr>
          <w:rFonts w:ascii="Arial" w:hAnsi="Arial" w:cs="Arial"/>
          <w:sz w:val="20"/>
          <w:szCs w:val="20"/>
        </w:rPr>
        <w:t xml:space="preserve"> intereses, comisiones, tasa, perfil de vencimiento y otros gastos de la deuda.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 Se anexara la informació</w:t>
      </w:r>
      <w:r w:rsidR="005E231E" w:rsidRPr="006641DA">
        <w:rPr>
          <w:rFonts w:ascii="Arial" w:hAnsi="Arial" w:cs="Arial"/>
          <w:sz w:val="20"/>
          <w:szCs w:val="20"/>
        </w:rPr>
        <w:t>n en las notas de desglose.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12.</w:t>
      </w:r>
      <w:r w:rsidR="005E231E" w:rsidRPr="006641DA">
        <w:rPr>
          <w:rFonts w:ascii="Arial" w:hAnsi="Arial" w:cs="Arial"/>
          <w:b/>
          <w:sz w:val="20"/>
          <w:szCs w:val="20"/>
        </w:rPr>
        <w:t xml:space="preserve"> Calificaciones otorgadas: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Informar, tanto del ente público como cualquier transacción realizada, que haya sido sujeta a una calificación crediticia:</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13. Proceso de Mejora:</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de: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Principales Políticas de control interno: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Medidas de desempeño financiero, metas y alcance:</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41DA">
        <w:rPr>
          <w:rFonts w:ascii="Arial" w:hAnsi="Arial" w:cs="Arial"/>
          <w:sz w:val="20"/>
          <w:szCs w:val="20"/>
        </w:rPr>
        <w:lastRenderedPageBreak/>
        <w:t>_________________________________</w:t>
      </w:r>
      <w:r w:rsidR="001973A2" w:rsidRPr="006641DA">
        <w:rPr>
          <w:rFonts w:ascii="Arial" w:hAnsi="Arial" w:cs="Arial"/>
          <w:sz w:val="20"/>
          <w:szCs w:val="20"/>
        </w:rPr>
        <w:t>____________________________________________________________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1</w:t>
      </w:r>
      <w:r w:rsidR="005E231E" w:rsidRPr="006641DA">
        <w:rPr>
          <w:rFonts w:ascii="Arial" w:hAnsi="Arial" w:cs="Arial"/>
          <w:b/>
          <w:sz w:val="20"/>
          <w:szCs w:val="20"/>
        </w:rPr>
        <w:t>4. Información por Segmentos: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Consecuentemente, esta información contribuye al análisis más preciso de la situación financiera, grados y fuentes de riesgo y crec</w:t>
      </w:r>
      <w:r w:rsidR="005E231E" w:rsidRPr="006641DA">
        <w:rPr>
          <w:rFonts w:ascii="Arial" w:hAnsi="Arial" w:cs="Arial"/>
          <w:sz w:val="20"/>
          <w:szCs w:val="20"/>
        </w:rPr>
        <w:t>imiento potencial de negocio.</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15. E</w:t>
      </w:r>
      <w:r w:rsidR="005E231E" w:rsidRPr="006641DA">
        <w:rPr>
          <w:rFonts w:ascii="Arial" w:hAnsi="Arial" w:cs="Arial"/>
          <w:b/>
          <w:sz w:val="20"/>
          <w:szCs w:val="20"/>
        </w:rPr>
        <w:t>ventos Posteriores al Cierre: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6641DA">
        <w:rPr>
          <w:rFonts w:ascii="Arial" w:hAnsi="Arial" w:cs="Arial"/>
          <w:sz w:val="20"/>
          <w:szCs w:val="20"/>
        </w:rPr>
        <w:t>cían a la fecha de cierre.</w:t>
      </w:r>
      <w:r w:rsidR="005E231E" w:rsidRPr="006641DA">
        <w:rPr>
          <w:rFonts w:ascii="Arial" w:hAnsi="Arial" w:cs="Arial"/>
          <w:sz w:val="20"/>
          <w:szCs w:val="20"/>
        </w:rPr>
        <w:cr/>
      </w:r>
    </w:p>
    <w:p w:rsidR="007D1E76" w:rsidRPr="006641DA" w:rsidRDefault="007D1E76" w:rsidP="007D1E76">
      <w:pPr>
        <w:spacing w:after="0" w:line="240" w:lineRule="auto"/>
        <w:jc w:val="both"/>
        <w:rPr>
          <w:rFonts w:ascii="Arial" w:hAnsi="Arial" w:cs="Arial"/>
          <w:sz w:val="20"/>
          <w:szCs w:val="20"/>
        </w:rPr>
      </w:pPr>
    </w:p>
    <w:p w:rsidR="007D1E76" w:rsidRPr="006641DA" w:rsidRDefault="005E231E" w:rsidP="007D1E76">
      <w:pPr>
        <w:spacing w:after="0" w:line="240" w:lineRule="auto"/>
        <w:jc w:val="both"/>
        <w:rPr>
          <w:rFonts w:ascii="Arial" w:hAnsi="Arial" w:cs="Arial"/>
          <w:b/>
          <w:sz w:val="20"/>
          <w:szCs w:val="20"/>
        </w:rPr>
      </w:pPr>
      <w:r w:rsidRPr="006641DA">
        <w:rPr>
          <w:rFonts w:ascii="Arial" w:hAnsi="Arial" w:cs="Arial"/>
          <w:b/>
          <w:sz w:val="20"/>
          <w:szCs w:val="20"/>
        </w:rPr>
        <w:t>16. Partes Relacionadas: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debe establecer por escrito que no existen partes relacionadas que pudieran ejercer influencia significativa sobre la toma de decisiones financieras y operativas: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6641DA">
        <w:rPr>
          <w:rFonts w:ascii="Arial" w:hAnsi="Arial" w:cs="Arial"/>
          <w:sz w:val="20"/>
          <w:szCs w:val="20"/>
        </w:rPr>
        <w:t>_________________________</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 xml:space="preserve">17. </w:t>
      </w:r>
      <w:r w:rsidR="001973A2" w:rsidRPr="006641DA">
        <w:rPr>
          <w:rFonts w:ascii="Arial" w:hAnsi="Arial" w:cs="Arial"/>
          <w:b/>
          <w:sz w:val="20"/>
          <w:szCs w:val="20"/>
        </w:rPr>
        <w:t>Responsabilidad Sobre la Presentación Razonable de la Información Contable</w:t>
      </w:r>
      <w:r w:rsidR="005E231E" w:rsidRPr="006641DA">
        <w:rPr>
          <w:rFonts w:ascii="Arial" w:hAnsi="Arial" w:cs="Arial"/>
          <w:b/>
          <w:sz w:val="20"/>
          <w:szCs w:val="20"/>
        </w:rPr>
        <w:t>:</w:t>
      </w:r>
    </w:p>
    <w:p w:rsidR="007D1E76" w:rsidRPr="006641DA" w:rsidRDefault="007D1E76" w:rsidP="007D1E76">
      <w:pPr>
        <w:spacing w:after="0" w:line="240" w:lineRule="auto"/>
        <w:jc w:val="both"/>
        <w:rPr>
          <w:rFonts w:ascii="Arial" w:hAnsi="Arial" w:cs="Arial"/>
          <w:sz w:val="20"/>
          <w:szCs w:val="20"/>
        </w:rPr>
      </w:pPr>
    </w:p>
    <w:p w:rsidR="007D1E76" w:rsidRPr="006641DA" w:rsidRDefault="001973A2" w:rsidP="007D1E76">
      <w:pPr>
        <w:spacing w:after="0" w:line="240" w:lineRule="auto"/>
        <w:jc w:val="both"/>
        <w:rPr>
          <w:rFonts w:ascii="Arial" w:hAnsi="Arial" w:cs="Arial"/>
          <w:sz w:val="20"/>
          <w:szCs w:val="20"/>
        </w:rPr>
      </w:pPr>
      <w:r w:rsidRPr="006641DA">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6641DA" w:rsidRDefault="007D1E76" w:rsidP="007D1E76">
      <w:pPr>
        <w:pBdr>
          <w:bottom w:val="single" w:sz="12" w:space="1" w:color="auto"/>
        </w:pBdr>
        <w:spacing w:after="0" w:line="240" w:lineRule="auto"/>
        <w:jc w:val="both"/>
        <w:rPr>
          <w:rFonts w:ascii="Arial" w:hAnsi="Arial" w:cs="Arial"/>
          <w:sz w:val="20"/>
          <w:szCs w:val="20"/>
        </w:rPr>
      </w:pPr>
    </w:p>
    <w:p w:rsidR="00AE1F6A" w:rsidRPr="006641DA" w:rsidRDefault="00AE1F6A" w:rsidP="007D1E76">
      <w:pPr>
        <w:pBdr>
          <w:bottom w:val="single" w:sz="12" w:space="1" w:color="auto"/>
        </w:pBdr>
        <w:spacing w:after="0" w:line="240" w:lineRule="auto"/>
        <w:jc w:val="both"/>
        <w:rPr>
          <w:rFonts w:ascii="Arial" w:hAnsi="Arial" w:cs="Arial"/>
          <w:sz w:val="20"/>
          <w:szCs w:val="20"/>
        </w:rPr>
      </w:pPr>
    </w:p>
    <w:p w:rsidR="001C75F2" w:rsidRPr="006641DA" w:rsidRDefault="001C75F2" w:rsidP="007D1E76">
      <w:pPr>
        <w:spacing w:after="0" w:line="240" w:lineRule="auto"/>
        <w:jc w:val="both"/>
        <w:rPr>
          <w:rFonts w:ascii="Arial" w:hAnsi="Arial" w:cs="Arial"/>
          <w:sz w:val="20"/>
          <w:szCs w:val="20"/>
        </w:rPr>
      </w:pPr>
    </w:p>
    <w:p w:rsidR="007D1E76" w:rsidRPr="006641DA" w:rsidRDefault="00091CE6" w:rsidP="00AA41E5">
      <w:pPr>
        <w:pStyle w:val="Ttulo"/>
        <w:rPr>
          <w:rFonts w:ascii="Arial" w:hAnsi="Arial" w:cs="Arial"/>
          <w:sz w:val="20"/>
          <w:szCs w:val="20"/>
        </w:rPr>
      </w:pPr>
      <w:r w:rsidRPr="006641DA">
        <w:rPr>
          <w:rFonts w:ascii="Arial" w:hAnsi="Arial" w:cs="Arial"/>
          <w:sz w:val="20"/>
          <w:szCs w:val="20"/>
        </w:rPr>
        <w:t>Nota 1: Las notas de Gestión Administrativa sólo se presentarán en medio digital, en impreso son opcional (de acu</w:t>
      </w:r>
      <w:r w:rsidR="00AA41E5" w:rsidRPr="006641DA">
        <w:rPr>
          <w:rFonts w:ascii="Arial" w:hAnsi="Arial" w:cs="Arial"/>
          <w:sz w:val="20"/>
          <w:szCs w:val="20"/>
        </w:rPr>
        <w:t>e</w:t>
      </w:r>
      <w:r w:rsidRPr="006641DA">
        <w:rPr>
          <w:rFonts w:ascii="Arial" w:hAnsi="Arial" w:cs="Arial"/>
          <w:sz w:val="20"/>
          <w:szCs w:val="20"/>
        </w:rPr>
        <w:t xml:space="preserve">rdo, ver </w:t>
      </w:r>
      <w:r w:rsidR="00AA41E5" w:rsidRPr="005A5430">
        <w:rPr>
          <w:rFonts w:ascii="Arial" w:hAnsi="Arial" w:cs="Arial"/>
          <w:color w:val="1F4E79"/>
          <w:sz w:val="20"/>
          <w:szCs w:val="20"/>
        </w:rPr>
        <w:t>Guía</w:t>
      </w:r>
      <w:r w:rsidRPr="005A5430">
        <w:rPr>
          <w:rFonts w:ascii="Arial" w:hAnsi="Arial" w:cs="Arial"/>
          <w:color w:val="1F4E79"/>
          <w:sz w:val="20"/>
          <w:szCs w:val="20"/>
        </w:rPr>
        <w:t xml:space="preserve"> para la entrega de la Cuenta Pública e Información Financiera Trimestral</w:t>
      </w:r>
      <w:r w:rsidRPr="006641DA">
        <w:rPr>
          <w:rFonts w:ascii="Arial" w:hAnsi="Arial" w:cs="Arial"/>
          <w:sz w:val="20"/>
          <w:szCs w:val="20"/>
        </w:rPr>
        <w:t>), las notas que no estén contempladas en el formato se agregarán libremente al mismo.</w:t>
      </w:r>
    </w:p>
    <w:p w:rsidR="00AE1F6A" w:rsidRPr="006641DA" w:rsidRDefault="00AE1F6A" w:rsidP="007D1E76">
      <w:pPr>
        <w:jc w:val="both"/>
        <w:rPr>
          <w:rFonts w:ascii="Arial" w:hAnsi="Arial" w:cs="Arial"/>
          <w:b/>
          <w:sz w:val="20"/>
          <w:szCs w:val="20"/>
        </w:rPr>
      </w:pPr>
      <w:r w:rsidRPr="006641DA">
        <w:rPr>
          <w:rFonts w:ascii="Arial" w:hAnsi="Arial" w:cs="Arial"/>
          <w:b/>
          <w:sz w:val="20"/>
          <w:szCs w:val="20"/>
        </w:rPr>
        <w:t>Nota 2: En cada una de las 16 notas de gestión administrativa el ente público deberá poner la nota correspondiente o en su caso la leyenda “Esta nota no le aplica al ente público” y una breve explicación del motivo por el cual no le es aplicable.</w:t>
      </w:r>
    </w:p>
    <w:p w:rsidR="007610BC" w:rsidRPr="006641DA" w:rsidRDefault="007610BC" w:rsidP="007D1E76">
      <w:pPr>
        <w:jc w:val="both"/>
        <w:rPr>
          <w:rFonts w:ascii="Arial" w:hAnsi="Arial" w:cs="Arial"/>
          <w:b/>
          <w:sz w:val="20"/>
          <w:szCs w:val="20"/>
        </w:rPr>
      </w:pPr>
    </w:p>
    <w:p w:rsidR="007610BC" w:rsidRPr="006641DA" w:rsidRDefault="007610BC" w:rsidP="007D1E76">
      <w:pPr>
        <w:jc w:val="both"/>
        <w:rPr>
          <w:rFonts w:ascii="Arial" w:hAnsi="Arial" w:cs="Arial"/>
          <w:b/>
          <w:sz w:val="20"/>
          <w:szCs w:val="20"/>
        </w:rPr>
      </w:pPr>
    </w:p>
    <w:p w:rsidR="007610BC" w:rsidRPr="006641DA" w:rsidRDefault="007610BC" w:rsidP="007D1E76">
      <w:pPr>
        <w:pBdr>
          <w:bottom w:val="single" w:sz="12" w:space="1" w:color="auto"/>
        </w:pBdr>
        <w:jc w:val="both"/>
        <w:rPr>
          <w:rFonts w:ascii="Arial" w:hAnsi="Arial" w:cs="Arial"/>
          <w:b/>
          <w:sz w:val="20"/>
          <w:szCs w:val="20"/>
        </w:rPr>
      </w:pPr>
    </w:p>
    <w:p w:rsidR="007610BC" w:rsidRPr="006641DA" w:rsidRDefault="007610BC" w:rsidP="007610BC">
      <w:pPr>
        <w:spacing w:after="0" w:line="240" w:lineRule="auto"/>
        <w:jc w:val="both"/>
        <w:rPr>
          <w:rFonts w:ascii="Arial" w:hAnsi="Arial" w:cs="Arial"/>
          <w:sz w:val="20"/>
          <w:szCs w:val="20"/>
        </w:rPr>
      </w:pPr>
      <w:r w:rsidRPr="006641DA">
        <w:rPr>
          <w:rFonts w:ascii="Arial" w:hAnsi="Arial" w:cs="Arial"/>
          <w:sz w:val="20"/>
          <w:szCs w:val="20"/>
        </w:rPr>
        <w:lastRenderedPageBreak/>
        <w:t xml:space="preserve">De acuerdo al </w:t>
      </w:r>
      <w:r w:rsidRPr="006641DA">
        <w:rPr>
          <w:rFonts w:ascii="Arial" w:hAnsi="Arial" w:cs="Arial"/>
          <w:b/>
          <w:sz w:val="20"/>
          <w:szCs w:val="20"/>
        </w:rPr>
        <w:t>artículo 13 fracción VIII</w:t>
      </w:r>
      <w:r w:rsidRPr="006641DA">
        <w:rPr>
          <w:rFonts w:ascii="Arial" w:hAnsi="Arial" w:cs="Arial"/>
          <w:sz w:val="20"/>
          <w:szCs w:val="20"/>
        </w:rPr>
        <w:t xml:space="preserve">, de la Ley de Disciplina Financiera de las Entidades Federativas y los Municipios </w:t>
      </w:r>
      <w:r w:rsidRPr="006641DA">
        <w:rPr>
          <w:rFonts w:ascii="Arial" w:hAnsi="Arial" w:cs="Arial"/>
          <w:b/>
          <w:sz w:val="20"/>
          <w:szCs w:val="20"/>
        </w:rPr>
        <w:t>(LDF), «</w:t>
      </w:r>
      <w:r w:rsidRPr="006641DA">
        <w:rPr>
          <w:rFonts w:ascii="Arial" w:hAnsi="Arial" w:cs="Arial"/>
          <w:sz w:val="20"/>
          <w:szCs w:val="20"/>
        </w:rPr>
        <w:t>Una vez concluida la vigencia del Presupuesto de Egresos, sólo procederá realizar pagos con base en dicho presupuesto, por los conceptos efectivamente devengados en el año que corresponda y</w:t>
      </w:r>
    </w:p>
    <w:p w:rsidR="007610BC" w:rsidRPr="006641DA" w:rsidRDefault="007610BC" w:rsidP="007610BC">
      <w:pPr>
        <w:spacing w:after="0" w:line="240" w:lineRule="auto"/>
        <w:jc w:val="both"/>
        <w:rPr>
          <w:rFonts w:ascii="Arial" w:hAnsi="Arial" w:cs="Arial"/>
          <w:b/>
          <w:sz w:val="20"/>
          <w:szCs w:val="20"/>
        </w:rPr>
      </w:pPr>
      <w:proofErr w:type="gramStart"/>
      <w:r w:rsidRPr="006641DA">
        <w:rPr>
          <w:rFonts w:ascii="Arial" w:hAnsi="Arial" w:cs="Arial"/>
          <w:sz w:val="20"/>
          <w:szCs w:val="20"/>
        </w:rPr>
        <w:t>que</w:t>
      </w:r>
      <w:proofErr w:type="gramEnd"/>
      <w:r w:rsidRPr="006641DA">
        <w:rPr>
          <w:rFonts w:ascii="Arial" w:hAnsi="Arial" w:cs="Arial"/>
          <w:sz w:val="20"/>
          <w:szCs w:val="20"/>
        </w:rPr>
        <w:t xml:space="preserve"> se hubieren registrado en el informe de cuentas por pagar y que integran el pasivo circulante al </w:t>
      </w:r>
      <w:r w:rsidRPr="006641DA">
        <w:rPr>
          <w:rFonts w:ascii="Arial" w:hAnsi="Arial" w:cs="Arial"/>
          <w:b/>
          <w:sz w:val="20"/>
          <w:szCs w:val="20"/>
        </w:rPr>
        <w:t>cierre</w:t>
      </w:r>
    </w:p>
    <w:p w:rsidR="007610BC" w:rsidRPr="006641DA" w:rsidRDefault="007610BC" w:rsidP="007610BC">
      <w:pPr>
        <w:spacing w:after="0" w:line="240" w:lineRule="auto"/>
        <w:jc w:val="both"/>
        <w:rPr>
          <w:rFonts w:ascii="Arial" w:hAnsi="Arial" w:cs="Arial"/>
          <w:b/>
          <w:sz w:val="20"/>
          <w:szCs w:val="20"/>
        </w:rPr>
      </w:pPr>
      <w:proofErr w:type="gramStart"/>
      <w:r w:rsidRPr="006641DA">
        <w:rPr>
          <w:rFonts w:ascii="Arial" w:hAnsi="Arial" w:cs="Arial"/>
          <w:b/>
          <w:sz w:val="20"/>
          <w:szCs w:val="20"/>
        </w:rPr>
        <w:t>del</w:t>
      </w:r>
      <w:proofErr w:type="gramEnd"/>
      <w:r w:rsidRPr="006641DA">
        <w:rPr>
          <w:rFonts w:ascii="Arial" w:hAnsi="Arial" w:cs="Arial"/>
          <w:b/>
          <w:sz w:val="20"/>
          <w:szCs w:val="20"/>
        </w:rPr>
        <w:t xml:space="preserve"> ejercicio</w:t>
      </w:r>
      <w:r w:rsidRPr="006641DA">
        <w:rPr>
          <w:rFonts w:ascii="Arial" w:hAnsi="Arial" w:cs="Arial"/>
          <w:sz w:val="20"/>
          <w:szCs w:val="20"/>
        </w:rPr>
        <w:t>.</w:t>
      </w:r>
      <w:r w:rsidRPr="006641DA">
        <w:rPr>
          <w:rFonts w:ascii="Arial" w:hAnsi="Arial" w:cs="Arial"/>
          <w:b/>
          <w:sz w:val="20"/>
          <w:szCs w:val="20"/>
        </w:rPr>
        <w:t>»</w:t>
      </w:r>
    </w:p>
    <w:p w:rsidR="007610BC" w:rsidRPr="006641DA" w:rsidRDefault="007610BC" w:rsidP="007610BC">
      <w:pPr>
        <w:spacing w:after="0" w:line="240" w:lineRule="auto"/>
        <w:jc w:val="both"/>
        <w:rPr>
          <w:rFonts w:ascii="Arial" w:hAnsi="Arial" w:cs="Arial"/>
          <w:sz w:val="20"/>
          <w:szCs w:val="20"/>
        </w:rPr>
      </w:pPr>
    </w:p>
    <w:p w:rsidR="007610BC" w:rsidRPr="006641DA" w:rsidRDefault="007610BC" w:rsidP="007610BC">
      <w:pPr>
        <w:spacing w:after="0" w:line="240" w:lineRule="auto"/>
        <w:jc w:val="both"/>
        <w:rPr>
          <w:rFonts w:ascii="Arial" w:hAnsi="Arial" w:cs="Arial"/>
          <w:sz w:val="20"/>
          <w:szCs w:val="20"/>
        </w:rPr>
      </w:pPr>
      <w:r w:rsidRPr="006641DA">
        <w:rPr>
          <w:rFonts w:ascii="Arial" w:hAnsi="Arial" w:cs="Arial"/>
          <w:sz w:val="20"/>
          <w:szCs w:val="20"/>
        </w:rPr>
        <w:t>Propuesta de cedula:</w:t>
      </w:r>
    </w:p>
    <w:p w:rsidR="007610BC" w:rsidRPr="006641DA" w:rsidRDefault="007610BC" w:rsidP="007610BC">
      <w:pPr>
        <w:spacing w:after="0" w:line="240" w:lineRule="auto"/>
        <w:jc w:val="both"/>
        <w:rPr>
          <w:rFonts w:ascii="Arial" w:hAnsi="Arial" w:cs="Arial"/>
          <w:b/>
          <w:sz w:val="20"/>
          <w:szCs w:val="20"/>
        </w:rPr>
      </w:pPr>
      <w:r w:rsidRPr="006641DA">
        <w:rPr>
          <w:rFonts w:ascii="Arial" w:hAnsi="Arial" w:cs="Arial"/>
          <w:b/>
          <w:sz w:val="20"/>
          <w:szCs w:val="20"/>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974"/>
        <w:gridCol w:w="4111"/>
        <w:gridCol w:w="940"/>
        <w:gridCol w:w="1134"/>
        <w:gridCol w:w="1275"/>
        <w:gridCol w:w="1193"/>
      </w:tblGrid>
      <w:tr w:rsidR="007610BC" w:rsidRPr="006641DA" w:rsidTr="002819A4">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6641DA" w:rsidRDefault="007610BC" w:rsidP="002819A4">
            <w:pPr>
              <w:spacing w:after="0" w:line="240" w:lineRule="auto"/>
              <w:jc w:val="center"/>
              <w:rPr>
                <w:rFonts w:ascii="Arial" w:eastAsia="Times New Roman" w:hAnsi="Arial" w:cs="Arial"/>
                <w:b/>
                <w:bCs/>
                <w:color w:val="000000"/>
                <w:sz w:val="20"/>
                <w:szCs w:val="20"/>
                <w:lang w:eastAsia="es-MX"/>
              </w:rPr>
            </w:pPr>
            <w:r w:rsidRPr="006641DA">
              <w:rPr>
                <w:rFonts w:ascii="Arial" w:eastAsia="Times New Roman" w:hAnsi="Arial" w:cs="Arial"/>
                <w:b/>
                <w:bCs/>
                <w:color w:val="000000"/>
                <w:sz w:val="20"/>
                <w:szCs w:val="20"/>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6641DA" w:rsidRDefault="007610BC" w:rsidP="002819A4">
            <w:pPr>
              <w:spacing w:after="0" w:line="240" w:lineRule="auto"/>
              <w:rPr>
                <w:rFonts w:ascii="Arial" w:eastAsia="Times New Roman" w:hAnsi="Arial" w:cs="Arial"/>
                <w:b/>
                <w:bCs/>
                <w:color w:val="000000"/>
                <w:sz w:val="20"/>
                <w:szCs w:val="20"/>
                <w:lang w:eastAsia="es-MX"/>
              </w:rPr>
            </w:pPr>
            <w:r w:rsidRPr="006641DA">
              <w:rPr>
                <w:rFonts w:ascii="Arial" w:eastAsia="Times New Roman" w:hAnsi="Arial" w:cs="Arial"/>
                <w:b/>
                <w:bCs/>
                <w:color w:val="000000"/>
                <w:sz w:val="20"/>
                <w:szCs w:val="20"/>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6641DA" w:rsidRDefault="007610BC" w:rsidP="002819A4">
            <w:pPr>
              <w:spacing w:after="0" w:line="240" w:lineRule="auto"/>
              <w:rPr>
                <w:rFonts w:ascii="Arial" w:eastAsia="Times New Roman" w:hAnsi="Arial" w:cs="Arial"/>
                <w:b/>
                <w:bCs/>
                <w:color w:val="000000"/>
                <w:sz w:val="20"/>
                <w:szCs w:val="20"/>
                <w:lang w:eastAsia="es-MX"/>
              </w:rPr>
            </w:pPr>
            <w:r w:rsidRPr="006641DA">
              <w:rPr>
                <w:rFonts w:ascii="Arial" w:eastAsia="Times New Roman" w:hAnsi="Arial" w:cs="Arial"/>
                <w:b/>
                <w:bCs/>
                <w:color w:val="000000"/>
                <w:sz w:val="20"/>
                <w:szCs w:val="20"/>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6641DA" w:rsidRDefault="007610BC" w:rsidP="002819A4">
            <w:pPr>
              <w:spacing w:after="0" w:line="240" w:lineRule="auto"/>
              <w:jc w:val="center"/>
              <w:rPr>
                <w:rFonts w:ascii="Arial" w:eastAsia="Times New Roman" w:hAnsi="Arial" w:cs="Arial"/>
                <w:b/>
                <w:bCs/>
                <w:color w:val="000000"/>
                <w:sz w:val="20"/>
                <w:szCs w:val="20"/>
                <w:lang w:eastAsia="es-MX"/>
              </w:rPr>
            </w:pPr>
            <w:r w:rsidRPr="006641DA">
              <w:rPr>
                <w:rFonts w:ascii="Arial" w:eastAsia="Times New Roman" w:hAnsi="Arial" w:cs="Arial"/>
                <w:b/>
                <w:bCs/>
                <w:color w:val="000000"/>
                <w:sz w:val="20"/>
                <w:szCs w:val="20"/>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6641DA" w:rsidRDefault="007610BC" w:rsidP="002819A4">
            <w:pPr>
              <w:spacing w:after="0" w:line="240" w:lineRule="auto"/>
              <w:jc w:val="center"/>
              <w:rPr>
                <w:rFonts w:ascii="Arial" w:eastAsia="Times New Roman" w:hAnsi="Arial" w:cs="Arial"/>
                <w:b/>
                <w:bCs/>
                <w:color w:val="000000"/>
                <w:sz w:val="20"/>
                <w:szCs w:val="20"/>
                <w:lang w:eastAsia="es-MX"/>
              </w:rPr>
            </w:pPr>
            <w:r w:rsidRPr="006641DA">
              <w:rPr>
                <w:rFonts w:ascii="Arial" w:eastAsia="Times New Roman" w:hAnsi="Arial" w:cs="Arial"/>
                <w:b/>
                <w:bCs/>
                <w:color w:val="000000"/>
                <w:sz w:val="20"/>
                <w:szCs w:val="20"/>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6641DA" w:rsidRDefault="007610BC" w:rsidP="002819A4">
            <w:pPr>
              <w:spacing w:after="0" w:line="240" w:lineRule="auto"/>
              <w:jc w:val="center"/>
              <w:rPr>
                <w:rFonts w:ascii="Arial" w:eastAsia="Times New Roman" w:hAnsi="Arial" w:cs="Arial"/>
                <w:b/>
                <w:bCs/>
                <w:color w:val="000000"/>
                <w:sz w:val="20"/>
                <w:szCs w:val="20"/>
                <w:lang w:eastAsia="es-MX"/>
              </w:rPr>
            </w:pPr>
            <w:r w:rsidRPr="006641DA">
              <w:rPr>
                <w:rFonts w:ascii="Arial" w:eastAsia="Times New Roman" w:hAnsi="Arial" w:cs="Arial"/>
                <w:b/>
                <w:bCs/>
                <w:color w:val="000000"/>
                <w:sz w:val="20"/>
                <w:szCs w:val="20"/>
                <w:lang w:eastAsia="es-MX"/>
              </w:rPr>
              <w:t>Etiquetado</w:t>
            </w: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r w:rsidR="007610BC" w:rsidRPr="006641DA" w:rsidTr="002819A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sz w:val="20"/>
                <w:szCs w:val="20"/>
                <w:lang w:eastAsia="es-MX"/>
              </w:rPr>
            </w:pPr>
            <w:r w:rsidRPr="006641DA">
              <w:rPr>
                <w:rFonts w:ascii="Arial" w:eastAsia="Times New Roman" w:hAnsi="Arial" w:cs="Arial"/>
                <w:sz w:val="20"/>
                <w:szCs w:val="20"/>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rPr>
                <w:rFonts w:ascii="Arial" w:eastAsia="Times New Roman" w:hAnsi="Arial" w:cs="Arial"/>
                <w:sz w:val="20"/>
                <w:szCs w:val="20"/>
                <w:lang w:eastAsia="es-MX"/>
              </w:rPr>
            </w:pPr>
            <w:r w:rsidRPr="006641DA">
              <w:rPr>
                <w:rFonts w:ascii="Arial" w:eastAsia="Times New Roman" w:hAnsi="Arial" w:cs="Arial"/>
                <w:sz w:val="20"/>
                <w:szCs w:val="20"/>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r w:rsidRPr="006641DA">
              <w:rPr>
                <w:rFonts w:ascii="Arial" w:eastAsia="Times New Roman" w:hAnsi="Arial" w:cs="Arial"/>
                <w:color w:val="000000"/>
                <w:sz w:val="20"/>
                <w:szCs w:val="20"/>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6641DA" w:rsidRDefault="007610BC" w:rsidP="002819A4">
            <w:pPr>
              <w:spacing w:after="0" w:line="240" w:lineRule="auto"/>
              <w:jc w:val="center"/>
              <w:rPr>
                <w:rFonts w:ascii="Arial" w:eastAsia="Times New Roman" w:hAnsi="Arial" w:cs="Arial"/>
                <w:color w:val="000000"/>
                <w:sz w:val="20"/>
                <w:szCs w:val="20"/>
                <w:lang w:eastAsia="es-MX"/>
              </w:rPr>
            </w:pPr>
          </w:p>
        </w:tc>
      </w:tr>
    </w:tbl>
    <w:p w:rsidR="007610BC" w:rsidRPr="006641DA" w:rsidRDefault="007610BC" w:rsidP="007610BC">
      <w:pPr>
        <w:spacing w:after="0" w:line="240" w:lineRule="auto"/>
        <w:jc w:val="both"/>
        <w:rPr>
          <w:rFonts w:ascii="Arial" w:hAnsi="Arial" w:cs="Arial"/>
          <w:b/>
          <w:sz w:val="20"/>
          <w:szCs w:val="20"/>
        </w:rPr>
      </w:pPr>
    </w:p>
    <w:p w:rsidR="007610BC" w:rsidRPr="006641DA" w:rsidRDefault="007610BC" w:rsidP="007D1E76">
      <w:pPr>
        <w:jc w:val="both"/>
        <w:rPr>
          <w:rFonts w:ascii="Arial" w:hAnsi="Arial" w:cs="Arial"/>
          <w:sz w:val="20"/>
          <w:szCs w:val="20"/>
        </w:rPr>
      </w:pPr>
    </w:p>
    <w:sectPr w:rsidR="007610BC" w:rsidRPr="006641DA"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41" w:rsidRDefault="00322441" w:rsidP="00E00323">
      <w:pPr>
        <w:spacing w:after="0" w:line="240" w:lineRule="auto"/>
      </w:pPr>
      <w:r>
        <w:separator/>
      </w:r>
    </w:p>
  </w:endnote>
  <w:endnote w:type="continuationSeparator" w:id="0">
    <w:p w:rsidR="00322441" w:rsidRDefault="0032244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41" w:rsidRDefault="00322441" w:rsidP="00E00323">
      <w:pPr>
        <w:spacing w:after="0" w:line="240" w:lineRule="auto"/>
      </w:pPr>
      <w:r>
        <w:separator/>
      </w:r>
    </w:p>
  </w:footnote>
  <w:footnote w:type="continuationSeparator" w:id="0">
    <w:p w:rsidR="00322441" w:rsidRDefault="0032244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0F31F7" w:rsidP="00154BA3">
    <w:pPr>
      <w:pStyle w:val="Encabezado"/>
      <w:jc w:val="center"/>
    </w:pPr>
    <w:r>
      <w:t>MUNICIPIO DE ROMITA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E654CB2"/>
    <w:multiLevelType w:val="hybridMultilevel"/>
    <w:tmpl w:val="0F1A9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0F31F7"/>
    <w:rsid w:val="00154BA3"/>
    <w:rsid w:val="00195DF1"/>
    <w:rsid w:val="001973A2"/>
    <w:rsid w:val="001C153D"/>
    <w:rsid w:val="001C75F2"/>
    <w:rsid w:val="001D2063"/>
    <w:rsid w:val="002819A4"/>
    <w:rsid w:val="00322441"/>
    <w:rsid w:val="00435A87"/>
    <w:rsid w:val="004A58C8"/>
    <w:rsid w:val="005A5430"/>
    <w:rsid w:val="005D3E43"/>
    <w:rsid w:val="005E231E"/>
    <w:rsid w:val="00641AAC"/>
    <w:rsid w:val="00643F88"/>
    <w:rsid w:val="00657009"/>
    <w:rsid w:val="006641DA"/>
    <w:rsid w:val="00681C79"/>
    <w:rsid w:val="007610BC"/>
    <w:rsid w:val="007714AB"/>
    <w:rsid w:val="007D1E76"/>
    <w:rsid w:val="0086459F"/>
    <w:rsid w:val="008C5310"/>
    <w:rsid w:val="008E076C"/>
    <w:rsid w:val="00AA41E5"/>
    <w:rsid w:val="00AE1F6A"/>
    <w:rsid w:val="00AF677B"/>
    <w:rsid w:val="00D11651"/>
    <w:rsid w:val="00D13C44"/>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F1383-14EE-44B1-B06F-F0438C384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3703</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24022</CharactersWithSpaces>
  <SharedDoc>false</SharedDoc>
  <HLinks>
    <vt:vector size="6" baseType="variant">
      <vt:variant>
        <vt:i4>5898312</vt:i4>
      </vt:variant>
      <vt:variant>
        <vt:i4>0</vt:i4>
      </vt:variant>
      <vt:variant>
        <vt:i4>0</vt:i4>
      </vt:variant>
      <vt:variant>
        <vt:i4>5</vt:i4>
      </vt:variant>
      <vt:variant>
        <vt:lpwstr>../../../../../acorona/lquiroz/AppData/Local/Microsoft/Windows/Temporary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ADRIAN FONSECA</cp:lastModifiedBy>
  <cp:revision>2</cp:revision>
  <dcterms:created xsi:type="dcterms:W3CDTF">2017-08-24T16:22:00Z</dcterms:created>
  <dcterms:modified xsi:type="dcterms:W3CDTF">2017-08-24T16:22:00Z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